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</w:t>
      </w:r>
      <w:r>
        <w:rPr>
          <w:rFonts w:ascii="Times New Roman" w:hAnsi="Times New Roman"/>
          <w:b w:val="1"/>
          <w:sz w:val="28"/>
        </w:rPr>
        <w:t>становлен порядок организации и осуществления контроля (надзора) за деятельностью органов местного самоуправления и должностных лиц местного самоуправлени</w:t>
      </w:r>
      <w:r>
        <w:rPr>
          <w:rFonts w:ascii="Times New Roman" w:hAnsi="Times New Roman"/>
          <w:sz w:val="28"/>
        </w:rPr>
        <w:t>я</w:t>
      </w:r>
    </w:p>
    <w:p w14:paraId="0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09.04.2026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85-</w:t>
      </w:r>
      <w:r>
        <w:rPr>
          <w:rFonts w:ascii="Times New Roman" w:hAnsi="Times New Roman"/>
          <w:sz w:val="28"/>
        </w:rPr>
        <w:t xml:space="preserve">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установлен порядок организации и осуществления контроля (надзора) за деятельностью органов местного самоуправления и должностных лиц местного самоуправления.</w:t>
      </w:r>
    </w:p>
    <w:p w14:paraId="0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направлен на совершенствование контрольно-надзорной деятельности в отношении органов местного самоуправления и должностных лиц местного самоуправления.</w:t>
      </w:r>
    </w:p>
    <w:p w14:paraId="0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этой целью предусматривается системное регулирование отношений, связанных с организацией и осуществлением контроля и надзора за деятельностью органов местного самоуправления и должностных лиц местного самоуправления.</w:t>
      </w:r>
    </w:p>
    <w:p w14:paraId="0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предусматривает принцип приоритетности профилактических мероприятий перед контрольными (надзорными) мероприятиями.</w:t>
      </w:r>
    </w:p>
    <w:p w14:paraId="0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Закрепляются механизмы, предусматривающие применение риск-ориентированного подхода, проведение профилактических мероприятий, (в частности, профилактических визитов), продление сроков исполнения предписаний об устранении нарушений требований, установленных законодательством, и процедуры досудебного обжалования при осуществлении государственного контроля (надзора) за деятельностью органов местного самоуправления.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2026-04-15T09:21:38Z</dcterms:created>
  <dcterms:modified xsi:type="dcterms:W3CDTF">2026-04-15T09:21:38Z</dcterms:modified>
</cp:coreProperties>
</file>